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2238" w14:textId="77777777" w:rsidR="00B92A5B" w:rsidRDefault="001108FB">
      <w:pPr>
        <w:pStyle w:val="Tytu"/>
        <w:spacing w:after="600" w:line="360" w:lineRule="auto"/>
        <w:jc w:val="left"/>
        <w:rPr>
          <w:rStyle w:val="Mocnowyrniony"/>
          <w:rFonts w:ascii="Calibri" w:hAnsi="Calibri" w:cs="Calibri"/>
          <w:b/>
          <w:bCs/>
          <w:sz w:val="32"/>
          <w:szCs w:val="32"/>
          <w:lang w:val="pl-PL"/>
        </w:rPr>
      </w:pPr>
      <w:r>
        <w:rPr>
          <w:rStyle w:val="Mocnowyrniony"/>
          <w:rFonts w:ascii="Calibri" w:hAnsi="Calibri" w:cs="Calibri"/>
          <w:b/>
          <w:bCs/>
          <w:sz w:val="32"/>
          <w:szCs w:val="32"/>
          <w:lang w:val="pl-PL"/>
        </w:rPr>
        <w:t>Informacja Administratora o przetwarzaniu danych osobowych w trybie przepisów ustawy o otwartych danych i ponownym wykorzystaniu informacji sektora publicznego.</w:t>
      </w:r>
    </w:p>
    <w:p w14:paraId="2AAE9FAD" w14:textId="77777777" w:rsidR="00B92A5B" w:rsidRDefault="001108FB">
      <w:pPr>
        <w:pStyle w:val="Nagwek1"/>
        <w:spacing w:after="480" w:line="360" w:lineRule="auto"/>
        <w:rPr>
          <w:rFonts w:ascii="Calibri" w:hAnsi="Calibri" w:cs="Calibri"/>
          <w:lang w:val="pl-PL"/>
        </w:rPr>
      </w:pPr>
      <w:r>
        <w:rPr>
          <w:rStyle w:val="Mocnowyrniony"/>
          <w:rFonts w:ascii="Calibri" w:hAnsi="Calibri" w:cs="Calibri"/>
          <w:b/>
          <w:bCs/>
          <w:lang w:val="pl-PL"/>
        </w:rPr>
        <w:t>Pojęcia:</w:t>
      </w:r>
    </w:p>
    <w:p w14:paraId="083087D1" w14:textId="77777777" w:rsidR="00B92A5B" w:rsidRDefault="001108FB">
      <w:pPr>
        <w:rPr>
          <w:rFonts w:cs="Calibri"/>
        </w:rPr>
      </w:pPr>
      <w:r>
        <w:rPr>
          <w:rStyle w:val="Mocnowyrniony"/>
          <w:rFonts w:cs="Calibri"/>
          <w:color w:val="444444"/>
        </w:rPr>
        <w:t>informacje sektora publicznego</w:t>
      </w:r>
      <w:r>
        <w:rPr>
          <w:rFonts w:cs="Calibri"/>
        </w:rPr>
        <w:t xml:space="preserve"> – to każda treść lub jej część, niezależnie od sposobu utrwalenia, w szczególności w postaci papierowej, elektronicznej, dźwiękowej, wizualnej lub audiowizualnej, będącą w posiadaniu podmiotu zobowiązanego,</w:t>
      </w:r>
    </w:p>
    <w:p w14:paraId="48D719D8" w14:textId="77777777" w:rsidR="00B92A5B" w:rsidRDefault="001108FB">
      <w:pPr>
        <w:rPr>
          <w:rFonts w:cs="Calibri"/>
        </w:rPr>
      </w:pPr>
      <w:r>
        <w:rPr>
          <w:rStyle w:val="Mocnowyrniony"/>
          <w:rFonts w:cs="Calibri"/>
          <w:color w:val="444444"/>
        </w:rPr>
        <w:t>ponowne wykorzystywanie</w:t>
      </w:r>
      <w:r>
        <w:rPr>
          <w:rFonts w:cs="Calibri"/>
        </w:rPr>
        <w:t xml:space="preserve"> – to wykorzystywanie przez użytkowników informacji sektora publicznego w jakimkolwiek celu, z wyjątkiem wymiany informacji sektora publicznego między podmiotami zobowiązanymi wyłącznie w celu realizacji zadań publicznych,</w:t>
      </w:r>
    </w:p>
    <w:p w14:paraId="7F0740CB" w14:textId="77777777" w:rsidR="00B92A5B" w:rsidRDefault="001108FB">
      <w:pPr>
        <w:rPr>
          <w:rFonts w:cs="Calibri"/>
        </w:rPr>
      </w:pPr>
      <w:r>
        <w:rPr>
          <w:rStyle w:val="Mocnowyrniony"/>
          <w:rFonts w:cs="Calibri"/>
          <w:color w:val="444444"/>
        </w:rPr>
        <w:t>otwarte dane</w:t>
      </w:r>
      <w:r>
        <w:rPr>
          <w:rFonts w:cs="Calibri"/>
        </w:rPr>
        <w:t xml:space="preserve"> - to dane, które mogą być swobodnie używane, ponownie wykorzystywane i rozpowszechniane przez każdego – ewentualnie z podaniem źródła i zasad rozpowszechniania.</w:t>
      </w:r>
    </w:p>
    <w:p w14:paraId="544D96F8" w14:textId="77777777" w:rsidR="00B92A5B" w:rsidRDefault="001108FB">
      <w:pPr>
        <w:pStyle w:val="Nagwek1"/>
        <w:spacing w:before="360" w:after="360" w:line="360" w:lineRule="auto"/>
        <w:rPr>
          <w:rFonts w:ascii="Calibri" w:hAnsi="Calibri" w:cs="Calibri"/>
          <w:lang w:val="pl-PL"/>
        </w:rPr>
      </w:pPr>
      <w:r>
        <w:rPr>
          <w:rFonts w:ascii="Calibri" w:hAnsi="Calibri" w:cs="Calibri"/>
          <w:lang w:val="pl-PL"/>
        </w:rPr>
        <w:t>Ponownemu wykorzystywaniu podlega informacja sektora publicznego:</w:t>
      </w:r>
    </w:p>
    <w:p w14:paraId="3FA57F3C" w14:textId="77777777" w:rsidR="00B92A5B" w:rsidRDefault="001108FB">
      <w:pPr>
        <w:pStyle w:val="Akapitzlist"/>
        <w:numPr>
          <w:ilvl w:val="0"/>
          <w:numId w:val="1"/>
        </w:numPr>
        <w:ind w:left="709"/>
      </w:pPr>
      <w:r>
        <w:t xml:space="preserve">udostępniona na stronie Biuletynu Informacji Publicznej Gminnego Zakładu Wodociągów i Kanalizacji w Rzgowie (gzwikrzgow.bip.wikom.pl.), </w:t>
      </w:r>
    </w:p>
    <w:p w14:paraId="4B0F0427" w14:textId="77777777" w:rsidR="00B92A5B" w:rsidRDefault="001108FB">
      <w:pPr>
        <w:pStyle w:val="Akapitzlist"/>
        <w:numPr>
          <w:ilvl w:val="0"/>
          <w:numId w:val="1"/>
        </w:numPr>
        <w:spacing w:after="120"/>
        <w:ind w:left="709" w:hanging="357"/>
      </w:pPr>
      <w:r>
        <w:t>przekazana na wniosek o ponowne wykorzystywanie informacji sektora publicznego (informacje poniżej),</w:t>
      </w:r>
    </w:p>
    <w:p w14:paraId="1A1F2077" w14:textId="77777777" w:rsidR="00B92A5B" w:rsidRDefault="001108FB">
      <w:pPr>
        <w:spacing w:after="120"/>
        <w:rPr>
          <w:rStyle w:val="Mocnowyrniony"/>
          <w:rFonts w:cs="Calibri"/>
          <w:color w:val="444444"/>
        </w:rPr>
      </w:pPr>
      <w:r>
        <w:rPr>
          <w:rStyle w:val="Mocnowyrniony"/>
          <w:rFonts w:cs="Calibri"/>
          <w:color w:val="444444"/>
        </w:rPr>
        <w:t>Warunki ponownego wykorzystywania informacji sektora publicznego Gminnego Zakładu Wodociągów i Kanalizacji w Rzgowie</w:t>
      </w:r>
    </w:p>
    <w:p w14:paraId="372D35F8" w14:textId="77777777" w:rsidR="00B92A5B" w:rsidRDefault="001108FB">
      <w:pPr>
        <w:spacing w:after="120"/>
        <w:rPr>
          <w:rFonts w:cs="Calibri"/>
        </w:rPr>
      </w:pPr>
      <w:r>
        <w:rPr>
          <w:rFonts w:cs="Calibri"/>
        </w:rPr>
        <w:t>Określa się następujące warunki dla ponownego wykorzystywania informacje sektora publicznego udostępnionych na stronach Biuletynu Informacji Publicznej:</w:t>
      </w:r>
    </w:p>
    <w:p w14:paraId="5C7C4289" w14:textId="77777777" w:rsidR="00B92A5B" w:rsidRDefault="001108FB">
      <w:pPr>
        <w:pStyle w:val="Akapitzlist"/>
        <w:numPr>
          <w:ilvl w:val="0"/>
          <w:numId w:val="2"/>
        </w:numPr>
        <w:ind w:left="709"/>
      </w:pPr>
      <w:r>
        <w:t>informacja musi zawierać wzmiankę o źródle jej pozyskania poprzez podanie pełnej nazwy Gminnego Zakładu Wodociągów i Kanalizacji w Rzgowie,</w:t>
      </w:r>
    </w:p>
    <w:p w14:paraId="26115AA3" w14:textId="77777777" w:rsidR="00B92A5B" w:rsidRDefault="001108FB">
      <w:pPr>
        <w:pStyle w:val="Akapitzlist"/>
        <w:numPr>
          <w:ilvl w:val="0"/>
          <w:numId w:val="2"/>
        </w:numPr>
        <w:ind w:left="709"/>
      </w:pPr>
      <w:r>
        <w:t>należy podać datę wytworzenia lub pozyskania informacji,</w:t>
      </w:r>
    </w:p>
    <w:p w14:paraId="02CEE307" w14:textId="77777777" w:rsidR="00B92A5B" w:rsidRDefault="001108FB">
      <w:pPr>
        <w:pStyle w:val="Akapitzlist"/>
        <w:numPr>
          <w:ilvl w:val="0"/>
          <w:numId w:val="2"/>
        </w:numPr>
        <w:ind w:left="709"/>
      </w:pPr>
      <w:r>
        <w:t>jeśli pozyskana treść informacji będzie modyfikowana należy zamieścić adnotację o tym, że uzyskana informacja została przetworzona w procesie ponownego wykorzystywania,</w:t>
      </w:r>
    </w:p>
    <w:p w14:paraId="55E845C7" w14:textId="77777777" w:rsidR="00B92A5B" w:rsidRDefault="001108FB">
      <w:pPr>
        <w:pStyle w:val="Akapitzlist"/>
        <w:numPr>
          <w:ilvl w:val="0"/>
          <w:numId w:val="2"/>
        </w:numPr>
        <w:ind w:left="709"/>
      </w:pPr>
      <w:r>
        <w:lastRenderedPageBreak/>
        <w:t>jeżeli treść pozyskanej informacji lub jej fragment, ma stanowić część całości, należy ją zamieścić w tekście w formie cytatu, z przypisem informującym o źródle pochodzenia,</w:t>
      </w:r>
    </w:p>
    <w:p w14:paraId="4AC9D303" w14:textId="77777777" w:rsidR="00B92A5B" w:rsidRDefault="001108FB">
      <w:pPr>
        <w:pStyle w:val="Akapitzlist"/>
        <w:numPr>
          <w:ilvl w:val="0"/>
          <w:numId w:val="2"/>
        </w:numPr>
        <w:spacing w:after="120"/>
        <w:ind w:left="709" w:hanging="357"/>
      </w:pPr>
      <w:r>
        <w:t>poinformowanie, iż organ zobowiązany do udostępnienia informacji sektora publicznego, nie ponosi odpowiedzialności za jej przetworzenie, dalsze udostępnianie i wykorzystywanie.</w:t>
      </w:r>
    </w:p>
    <w:p w14:paraId="3BB10444" w14:textId="77777777" w:rsidR="00B92A5B" w:rsidRDefault="001108FB">
      <w:pPr>
        <w:rPr>
          <w:rFonts w:cs="Calibri"/>
        </w:rPr>
      </w:pPr>
      <w:r>
        <w:rPr>
          <w:rFonts w:cs="Calibri"/>
        </w:rPr>
        <w:t>Określone przez podmiot zobowiązany warunki ponownego wykorzystywania są obiektywne, proporcjonalne, niedyskryminacyjne oraz nie ograniczają w sposób nieuzasadniony możliwości ponownego wykorzystywania informacji sektora publicznego.</w:t>
      </w:r>
    </w:p>
    <w:p w14:paraId="10FD66F1" w14:textId="77777777" w:rsidR="00B92A5B" w:rsidRDefault="001108FB">
      <w:pPr>
        <w:rPr>
          <w:rFonts w:cs="Calibri"/>
        </w:rPr>
      </w:pPr>
      <w:r>
        <w:rPr>
          <w:rStyle w:val="Mocnowyrniony"/>
          <w:rFonts w:cs="Calibri"/>
          <w:color w:val="444444"/>
        </w:rPr>
        <w:t>Tryb wnioskowy</w:t>
      </w:r>
      <w:r>
        <w:rPr>
          <w:rFonts w:cs="Calibri"/>
        </w:rPr>
        <w:t xml:space="preserve"> o ponowne wykorzystywanie ma zastosowanie w przypadkach, gdy informacja sektora publicznego:</w:t>
      </w:r>
    </w:p>
    <w:p w14:paraId="6462F4E7" w14:textId="77777777" w:rsidR="00B92A5B" w:rsidRDefault="001108FB">
      <w:pPr>
        <w:pStyle w:val="Akapitzlist"/>
        <w:numPr>
          <w:ilvl w:val="0"/>
          <w:numId w:val="7"/>
        </w:numPr>
        <w:ind w:left="709"/>
      </w:pPr>
      <w:r>
        <w:t>nie została udostępniona w Biuletynie Informacji Publicznej,</w:t>
      </w:r>
    </w:p>
    <w:p w14:paraId="435A3B74" w14:textId="77777777" w:rsidR="00B92A5B" w:rsidRDefault="001108FB">
      <w:pPr>
        <w:pStyle w:val="Akapitzlist"/>
        <w:numPr>
          <w:ilvl w:val="0"/>
          <w:numId w:val="7"/>
        </w:numPr>
        <w:ind w:left="709"/>
      </w:pPr>
      <w:r>
        <w:t>została udostępniona w sposób inny niż w Biuletynie Informacji Publicznej i nie zostały określone warunki ponownego wykorzystywania lub opłat za ponowne wykorzystywanie albo nie poinformowano o braku takich  warunków lub opłat,</w:t>
      </w:r>
    </w:p>
    <w:p w14:paraId="77A79C71" w14:textId="77777777" w:rsidR="00B92A5B" w:rsidRDefault="001108FB">
      <w:pPr>
        <w:pStyle w:val="Akapitzlist"/>
        <w:numPr>
          <w:ilvl w:val="0"/>
          <w:numId w:val="7"/>
        </w:numPr>
        <w:ind w:left="709"/>
      </w:pPr>
      <w:r>
        <w:t>będzie wykorzystywana na warunkach innych niż zostały dla tej informacji określone,</w:t>
      </w:r>
    </w:p>
    <w:p w14:paraId="742989F1" w14:textId="77777777" w:rsidR="00B92A5B" w:rsidRDefault="001108FB">
      <w:pPr>
        <w:pStyle w:val="Akapitzlist"/>
        <w:numPr>
          <w:ilvl w:val="0"/>
          <w:numId w:val="7"/>
        </w:numPr>
        <w:spacing w:after="120"/>
        <w:ind w:left="709" w:hanging="357"/>
      </w:pPr>
      <w:r>
        <w:t>została udostępniona lub przekazana na podstawie innych ustaw określających zasady i tryb dostępu do informacji będących informacjami sektora publicznego.</w:t>
      </w:r>
    </w:p>
    <w:p w14:paraId="789DDC28" w14:textId="77777777" w:rsidR="00B92A5B" w:rsidRDefault="001108FB">
      <w:pPr>
        <w:spacing w:after="120"/>
        <w:rPr>
          <w:rFonts w:cs="Calibri"/>
        </w:rPr>
      </w:pPr>
      <w:r>
        <w:rPr>
          <w:rStyle w:val="Mocnowyrniony"/>
          <w:rFonts w:cs="Calibri"/>
          <w:color w:val="444444"/>
        </w:rPr>
        <w:t>Wnioski mogą być wnoszone:</w:t>
      </w:r>
    </w:p>
    <w:p w14:paraId="5B13E33D" w14:textId="77777777" w:rsidR="00B92A5B" w:rsidRDefault="001108FB">
      <w:pPr>
        <w:pStyle w:val="Akapitzlist"/>
        <w:numPr>
          <w:ilvl w:val="0"/>
          <w:numId w:val="8"/>
        </w:numPr>
        <w:ind w:left="709"/>
      </w:pPr>
      <w:r>
        <w:t>w formie pisemnej w Gminnym Zakładzie Wodociągów i Kanalizacji w Rzgowie adres: ul. Stawowa 11, 95-030 Rzgów,</w:t>
      </w:r>
    </w:p>
    <w:p w14:paraId="25018CFA" w14:textId="68518D2A" w:rsidR="00B92A5B" w:rsidRDefault="001108FB">
      <w:pPr>
        <w:pStyle w:val="Akapitzlist"/>
        <w:numPr>
          <w:ilvl w:val="0"/>
          <w:numId w:val="8"/>
        </w:numPr>
        <w:ind w:left="709"/>
      </w:pPr>
      <w:r>
        <w:t xml:space="preserve">w formie dokumentu elektronicznego poprzez platformę e-PUAP identyfikator: </w:t>
      </w:r>
      <w:proofErr w:type="spellStart"/>
      <w:r w:rsidRPr="001108FB">
        <w:t>GZWiK_Rzg</w:t>
      </w:r>
      <w:r>
        <w:t>o</w:t>
      </w:r>
      <w:r w:rsidRPr="001108FB">
        <w:t>w</w:t>
      </w:r>
      <w:proofErr w:type="spellEnd"/>
    </w:p>
    <w:p w14:paraId="478A294A" w14:textId="77777777" w:rsidR="00B92A5B" w:rsidRDefault="001108FB">
      <w:pPr>
        <w:pStyle w:val="Akapitzlist"/>
        <w:numPr>
          <w:ilvl w:val="0"/>
          <w:numId w:val="8"/>
        </w:numPr>
        <w:ind w:left="709" w:hanging="357"/>
      </w:pPr>
      <w:r>
        <w:t xml:space="preserve">e-mailem na adres: </w:t>
      </w:r>
      <w:hyperlink r:id="rId5">
        <w:r>
          <w:rPr>
            <w:rStyle w:val="czeinternetowe"/>
            <w:rFonts w:cs="Calibri"/>
          </w:rPr>
          <w:t>biuro@gzwik.pl</w:t>
        </w:r>
      </w:hyperlink>
    </w:p>
    <w:p w14:paraId="1A5EC6E3" w14:textId="77777777" w:rsidR="00B92A5B" w:rsidRDefault="001108FB">
      <w:pPr>
        <w:rPr>
          <w:rFonts w:cs="Calibri"/>
        </w:rPr>
      </w:pPr>
      <w:r>
        <w:rPr>
          <w:rFonts w:cs="Calibri"/>
        </w:rPr>
        <w:t>Wniosek powinien zawierać:</w:t>
      </w:r>
    </w:p>
    <w:p w14:paraId="4100C57C" w14:textId="77777777" w:rsidR="00B92A5B" w:rsidRDefault="001108FB">
      <w:pPr>
        <w:pStyle w:val="Akapitzlist"/>
        <w:numPr>
          <w:ilvl w:val="0"/>
          <w:numId w:val="3"/>
        </w:numPr>
        <w:ind w:left="709"/>
      </w:pPr>
      <w:r>
        <w:t>nazwę podmiotu zobowiązanego,</w:t>
      </w:r>
    </w:p>
    <w:p w14:paraId="55A509C7" w14:textId="77777777" w:rsidR="00B92A5B" w:rsidRDefault="001108FB">
      <w:pPr>
        <w:pStyle w:val="Akapitzlist"/>
        <w:numPr>
          <w:ilvl w:val="0"/>
          <w:numId w:val="3"/>
        </w:numPr>
        <w:ind w:left="709"/>
      </w:pPr>
      <w:r>
        <w:t>informacje o wnioskodawcy, w tym imię i nazwisko albo nazwę oraz adres umożliwiający dostarczenie odpowiedzi do wnioskodawcy albo pełnomocnika tego wnioskodawcy w sposób lub w formie wskazanych we wniosku,</w:t>
      </w:r>
    </w:p>
    <w:p w14:paraId="3774E811" w14:textId="77777777" w:rsidR="00B92A5B" w:rsidRDefault="001108FB">
      <w:pPr>
        <w:pStyle w:val="Akapitzlist"/>
        <w:numPr>
          <w:ilvl w:val="0"/>
          <w:numId w:val="3"/>
        </w:numPr>
        <w:ind w:left="709"/>
      </w:pPr>
      <w:r>
        <w:t>wskazanie informacji sektora publicznego, które będą ponownie wykorzystywane, a jeżeli są już udostępniane lub zostały przekazane, warunki ponownego wykorzystywania, na jakich mają być ponownie wykorzystywane, oraz źródło udostępniania lub przekazania,</w:t>
      </w:r>
    </w:p>
    <w:p w14:paraId="1AF7A6AD" w14:textId="77777777" w:rsidR="00B92A5B" w:rsidRDefault="001108FB">
      <w:pPr>
        <w:pStyle w:val="Akapitzlist"/>
        <w:numPr>
          <w:ilvl w:val="0"/>
          <w:numId w:val="3"/>
        </w:numPr>
        <w:ind w:left="709"/>
      </w:pPr>
      <w:r>
        <w:t>wskazanie celu ponownego wykorzystywania, w tym określenie rodzaju działalności, w której informacje sektora publicznego będą ponownie wykorzystywane, w szczególności wskazanie dóbr, produktów lub usług;</w:t>
      </w:r>
    </w:p>
    <w:p w14:paraId="29C1EDCD" w14:textId="77777777" w:rsidR="00B92A5B" w:rsidRDefault="001108FB">
      <w:pPr>
        <w:pStyle w:val="Akapitzlist"/>
        <w:numPr>
          <w:ilvl w:val="0"/>
          <w:numId w:val="3"/>
        </w:numPr>
        <w:ind w:left="709"/>
      </w:pPr>
      <w:r>
        <w:lastRenderedPageBreak/>
        <w:t>wskazanie formy przygotowania informacji sektora publicznego, a w przypadku postaci elektronicznej – także wskazanie formatu danych,</w:t>
      </w:r>
    </w:p>
    <w:p w14:paraId="0FCC98BC" w14:textId="77777777" w:rsidR="00B92A5B" w:rsidRDefault="001108FB">
      <w:pPr>
        <w:pStyle w:val="Akapitzlist"/>
        <w:numPr>
          <w:ilvl w:val="0"/>
          <w:numId w:val="3"/>
        </w:numPr>
        <w:ind w:left="709"/>
      </w:pPr>
      <w:r>
        <w:t>wskazanie:</w:t>
      </w:r>
    </w:p>
    <w:p w14:paraId="370C0DCF" w14:textId="77777777" w:rsidR="00B92A5B" w:rsidRDefault="001108FB">
      <w:pPr>
        <w:pStyle w:val="Akapitzlist"/>
        <w:numPr>
          <w:ilvl w:val="0"/>
          <w:numId w:val="4"/>
        </w:numPr>
      </w:pPr>
      <w:r>
        <w:t>sposobu przekazania informacji sektora publicznego, o ile nie są udostępniane lub nie zostały przekazane w inny sposób albo</w:t>
      </w:r>
    </w:p>
    <w:p w14:paraId="647A89CD" w14:textId="77777777" w:rsidR="00B92A5B" w:rsidRDefault="001108FB">
      <w:pPr>
        <w:pStyle w:val="Akapitzlist"/>
        <w:numPr>
          <w:ilvl w:val="0"/>
          <w:numId w:val="4"/>
        </w:numPr>
      </w:pPr>
      <w:r>
        <w:t>sposobu i okresu dostępu do informacji gromadzonych i przechowywanych w systemie teleinformatycznym.</w:t>
      </w:r>
    </w:p>
    <w:p w14:paraId="4C0561E0" w14:textId="77777777" w:rsidR="00B92A5B" w:rsidRDefault="001108FB">
      <w:pPr>
        <w:pStyle w:val="Nagwek1"/>
        <w:spacing w:before="360" w:after="360" w:line="360" w:lineRule="auto"/>
        <w:rPr>
          <w:rFonts w:ascii="Calibri" w:hAnsi="Calibri" w:cs="Calibri"/>
          <w:lang w:val="pl-PL"/>
        </w:rPr>
      </w:pPr>
      <w:r>
        <w:rPr>
          <w:rStyle w:val="Mocnowyrniony"/>
          <w:rFonts w:ascii="Calibri" w:hAnsi="Calibri" w:cs="Calibri"/>
          <w:b/>
          <w:bCs/>
          <w:lang w:val="pl-PL"/>
        </w:rPr>
        <w:t>Sugerowany wzór wniosku na dole strony.</w:t>
      </w:r>
    </w:p>
    <w:p w14:paraId="0588B781" w14:textId="77777777" w:rsidR="00B92A5B" w:rsidRDefault="001108FB">
      <w:pPr>
        <w:spacing w:after="120"/>
        <w:rPr>
          <w:rFonts w:cs="Calibri"/>
        </w:rPr>
      </w:pPr>
      <w:r>
        <w:rPr>
          <w:rStyle w:val="Mocnowyrniony"/>
          <w:rFonts w:cs="Calibri"/>
        </w:rPr>
        <w:t>W przypadku niespełnienia warunków formalnych wniosku</w:t>
      </w:r>
      <w:r>
        <w:rPr>
          <w:rStyle w:val="Mocnowyrniony"/>
          <w:rFonts w:cs="Calibri"/>
          <w:b w:val="0"/>
        </w:rPr>
        <w:t>, wzywa się wnioskodawcę do uzupełnienia braków, wraz z pouczeniem, że ich nieusunięcie w terminie 7 dni od dnia otrzymania wezwania spowoduje pozostawienie wniosku bez rozpoznania.</w:t>
      </w:r>
      <w:r>
        <w:rPr>
          <w:rStyle w:val="Mocnowyrniony"/>
          <w:rFonts w:cs="Calibri"/>
          <w:b w:val="0"/>
        </w:rPr>
        <w:br/>
        <w:t>Wniosek rozpatruje się nie później niż w terminie 14 dni od dnia złożenia wniosku.</w:t>
      </w:r>
      <w:r>
        <w:rPr>
          <w:rStyle w:val="Mocnowyrniony"/>
          <w:rFonts w:cs="Calibri"/>
          <w:b w:val="0"/>
        </w:rPr>
        <w:br/>
        <w:t>W przypadku braku możliwości rozpatrzenia wniosku w powyższym terminie, możliwe jest przedłużenie załatwienia sprawy do 2 miesięcy, po zawiadomieniu wnioskodawcy o przyczynach opóźnienia.</w:t>
      </w:r>
    </w:p>
    <w:p w14:paraId="68F47D45" w14:textId="77777777" w:rsidR="00B92A5B" w:rsidRDefault="001108FB">
      <w:pPr>
        <w:spacing w:after="120"/>
        <w:rPr>
          <w:rFonts w:cs="Calibri"/>
        </w:rPr>
      </w:pPr>
      <w:r>
        <w:rPr>
          <w:rFonts w:cs="Calibri"/>
        </w:rPr>
        <w:t>Po rozpatrzeniu wniosku organ zobowiązany:</w:t>
      </w:r>
    </w:p>
    <w:p w14:paraId="06769CC2" w14:textId="77777777" w:rsidR="00B92A5B" w:rsidRDefault="001108FB">
      <w:pPr>
        <w:pStyle w:val="Akapitzlist"/>
        <w:numPr>
          <w:ilvl w:val="0"/>
          <w:numId w:val="5"/>
        </w:numPr>
        <w:ind w:left="709"/>
      </w:pPr>
      <w:r>
        <w:t>przekazuje informację sektora publicznego w celu ponownego wykorzystywania bez określania warunków ponownego wykorzystywania,</w:t>
      </w:r>
    </w:p>
    <w:p w14:paraId="0F68660B" w14:textId="77777777" w:rsidR="00B92A5B" w:rsidRDefault="001108FB">
      <w:pPr>
        <w:pStyle w:val="Akapitzlist"/>
        <w:numPr>
          <w:ilvl w:val="0"/>
          <w:numId w:val="5"/>
        </w:numPr>
        <w:ind w:left="709"/>
      </w:pPr>
      <w:r>
        <w:t>informuje o braku warunków ponownego wykorzystywania w przypadku posiadania informacji sektora publicznego przez wnioskodawcę (wyraża zgodę na ponowne wykorzystywanie informacji sektora publicznego),</w:t>
      </w:r>
    </w:p>
    <w:p w14:paraId="331F63E0" w14:textId="77777777" w:rsidR="00B92A5B" w:rsidRDefault="001108FB">
      <w:pPr>
        <w:pStyle w:val="Akapitzlist"/>
        <w:numPr>
          <w:ilvl w:val="0"/>
          <w:numId w:val="5"/>
        </w:numPr>
        <w:ind w:left="709"/>
      </w:pPr>
      <w:r>
        <w:t>składa ofertę zawierającą warunki ponownego wykorzystywania lub informację o wysokości opłat za ponowne wykorzystywanie,</w:t>
      </w:r>
    </w:p>
    <w:p w14:paraId="564764D6" w14:textId="77777777" w:rsidR="00B92A5B" w:rsidRDefault="001108FB">
      <w:pPr>
        <w:pStyle w:val="Akapitzlist"/>
        <w:numPr>
          <w:ilvl w:val="0"/>
          <w:numId w:val="5"/>
        </w:numPr>
        <w:spacing w:after="120"/>
        <w:ind w:left="709" w:hanging="357"/>
      </w:pPr>
      <w:r>
        <w:rPr>
          <w:rStyle w:val="Mocnowyrniony"/>
          <w:rFonts w:cs="Calibri"/>
          <w:b w:val="0"/>
        </w:rPr>
        <w:t>odmawia, w drodze decyzji, wyrażenia zgody na ponowne wykorzystywanie informacji sektora publicznego.</w:t>
      </w:r>
    </w:p>
    <w:p w14:paraId="0BF44521" w14:textId="77777777" w:rsidR="00B92A5B" w:rsidRDefault="001108FB">
      <w:pPr>
        <w:spacing w:after="120"/>
        <w:rPr>
          <w:rFonts w:cs="Calibri"/>
        </w:rPr>
      </w:pPr>
      <w:r>
        <w:rPr>
          <w:rStyle w:val="Mocnowyrniony"/>
          <w:rFonts w:cs="Calibri"/>
          <w:color w:val="444444"/>
        </w:rPr>
        <w:t>Prawo do dostępu do informacji sektora publicznego podlega ograniczeniom</w:t>
      </w:r>
      <w:r>
        <w:rPr>
          <w:rFonts w:cs="Calibri"/>
        </w:rPr>
        <w:t xml:space="preserve"> wynikającym z przepisów ustawy o otwartych danych i ponownym wykorzystaniu informacji sektora publicznego (art. 6 ustawy) wynikające m.in.:</w:t>
      </w:r>
    </w:p>
    <w:p w14:paraId="350CBF3B" w14:textId="77777777" w:rsidR="00B92A5B" w:rsidRDefault="001108FB">
      <w:pPr>
        <w:pStyle w:val="Akapitzlist"/>
        <w:numPr>
          <w:ilvl w:val="0"/>
          <w:numId w:val="6"/>
        </w:numPr>
        <w:ind w:left="709"/>
      </w:pPr>
      <w:r>
        <w:t>z przepisów o ochronie informacji niejawnych oraz innych tajemnic ustawowo chronionych;</w:t>
      </w:r>
    </w:p>
    <w:p w14:paraId="451115C5" w14:textId="77777777" w:rsidR="00B92A5B" w:rsidRDefault="001108FB">
      <w:pPr>
        <w:pStyle w:val="Akapitzlist"/>
        <w:numPr>
          <w:ilvl w:val="0"/>
          <w:numId w:val="6"/>
        </w:numPr>
        <w:ind w:left="709"/>
      </w:pPr>
      <w:r>
        <w:t>ze względu na prywatność osoby fizycznej lub tajemnicę przedsiębiorcy (nie dotyczy osób pełniących funkcje publiczne);</w:t>
      </w:r>
    </w:p>
    <w:p w14:paraId="3B7D1084" w14:textId="77777777" w:rsidR="00B92A5B" w:rsidRDefault="001108FB">
      <w:pPr>
        <w:pStyle w:val="Akapitzlist"/>
        <w:numPr>
          <w:ilvl w:val="0"/>
          <w:numId w:val="6"/>
        </w:numPr>
        <w:ind w:left="709"/>
      </w:pPr>
      <w:r>
        <w:lastRenderedPageBreak/>
        <w:t>z przepisów innych ustaw;</w:t>
      </w:r>
    </w:p>
    <w:p w14:paraId="47EF6BA6" w14:textId="77777777" w:rsidR="00B92A5B" w:rsidRDefault="001108FB">
      <w:pPr>
        <w:pStyle w:val="Akapitzlist"/>
        <w:numPr>
          <w:ilvl w:val="0"/>
          <w:numId w:val="6"/>
        </w:numPr>
        <w:spacing w:after="120"/>
        <w:ind w:left="709" w:hanging="357"/>
      </w:pPr>
      <w:r>
        <w:rPr>
          <w:rStyle w:val="Mocnowyrniony"/>
          <w:rFonts w:cs="Calibri"/>
          <w:b w:val="0"/>
        </w:rPr>
        <w:t>z praw autorskich i praw pokrewnych, które przysługują innemu podmiotowi niż organ zobowiązany.</w:t>
      </w:r>
    </w:p>
    <w:p w14:paraId="47019506" w14:textId="77777777" w:rsidR="00B92A5B" w:rsidRDefault="001108FB">
      <w:pPr>
        <w:spacing w:after="600"/>
        <w:rPr>
          <w:rStyle w:val="Mocnowyrniony"/>
          <w:rFonts w:cs="Calibri"/>
          <w:b w:val="0"/>
        </w:rPr>
      </w:pPr>
      <w:r>
        <w:rPr>
          <w:rStyle w:val="Mocnowyrniony"/>
          <w:rFonts w:cs="Calibri"/>
        </w:rPr>
        <w:t>Informacja o wysokości opłat za ponowne wykorzystywanie informacji sektora publicznego</w:t>
      </w:r>
      <w:r>
        <w:rPr>
          <w:rStyle w:val="Mocnowyrniony"/>
          <w:rFonts w:cs="Calibri"/>
          <w:b w:val="0"/>
        </w:rPr>
        <w:br/>
        <w:t xml:space="preserve">Informacja sektora publicznego wytworzona w Gminnym Zakładzie Wodociągów i Kanalizacji w Rzgowie jest udostępniana lub przekazywana w celu ponownego wykorzystywania, co do zasady, bezpłatnie. </w:t>
      </w:r>
      <w:proofErr w:type="spellStart"/>
      <w:r>
        <w:rPr>
          <w:rStyle w:val="Mocnowyrniony"/>
          <w:rFonts w:cs="Calibri"/>
          <w:b w:val="0"/>
        </w:rPr>
        <w:t>GZWiK</w:t>
      </w:r>
      <w:proofErr w:type="spellEnd"/>
      <w:r>
        <w:rPr>
          <w:rStyle w:val="Mocnowyrniony"/>
          <w:rFonts w:cs="Calibri"/>
          <w:b w:val="0"/>
        </w:rPr>
        <w:t xml:space="preserve"> w Rzgowie może nałożyć opłatę za ponowne wykorzystywanie, jeżeli przygotowanie lub przekazanie informacji w sposób wskazany we wniosku wymaga poniesienia dodatkowych kosztów. Ustalając wysokość opłaty, uwzględnia się koszty przygotowania lub przekazania informacji sektora publicznego w określony sposób i w określonej formie, a także inne czynniki, które będą brane pod uwagę przy rozpatrywaniu nietypowych wniosków o ponowne wykorzystanie, które mogą mieć wpływ na koszt lub czas przygotowania lub przekazania informacji.</w:t>
      </w:r>
    </w:p>
    <w:p w14:paraId="22BED93A" w14:textId="77777777" w:rsidR="00B92A5B" w:rsidRDefault="001108FB">
      <w:pPr>
        <w:tabs>
          <w:tab w:val="left" w:leader="dot" w:pos="5669"/>
        </w:tabs>
        <w:spacing w:line="276" w:lineRule="auto"/>
        <w:textAlignment w:val="auto"/>
        <w:rPr>
          <w:rFonts w:eastAsia="Calibri" w:cs="Calibri"/>
          <w:color w:val="404040" w:themeColor="text1" w:themeTint="BF"/>
          <w:sz w:val="22"/>
          <w:szCs w:val="22"/>
        </w:rPr>
      </w:pPr>
      <w:r>
        <w:rPr>
          <w:rFonts w:eastAsia="Calibri" w:cs="Calibri"/>
          <w:color w:val="404040" w:themeColor="text1" w:themeTint="BF"/>
          <w:sz w:val="22"/>
          <w:szCs w:val="22"/>
        </w:rPr>
        <w:t xml:space="preserve">Administratorem danych osobowych jest Gminny Zakład Wodociągów i Kanalizacji w Rzgowie. W sprawach dotyczących przetwarzania danych osobowych prosimy o kontakt z Inspektorem Ochrony Danych, e-mail: iod@gzwik.pl Dane osobowe przetwarzane będą przez Gminny Zakład Wodociągów i Kanalizacji w Rzgowie w celu realizacji niniejszego wniosku. Dane osobowe będą przetwarzane przez okres niezbędny do realizacji wniosku, a następnie przez okres niezbędny do zabezpieczenia ewentualnych roszczeń związanych z przetwarzaniem danych. Dane osobowe będą udostępniane tylko podmiotom, którym Administrator ma obowiązek przekazywać dane na gruncie obowiązujących przepisów prawa oraz, na podstawie stosownej umowy powierzenia przetwarzania danych osobowych, podmiotom wspierającym Administratora w realizacji wniosku. Posiada Pani/Pan prawo dostępu do treści swoich danych, </w:t>
      </w:r>
      <w:r>
        <w:rPr>
          <w:rFonts w:eastAsia="Calibri" w:cs="Calibri"/>
          <w:color w:val="404040" w:themeColor="text1" w:themeTint="BF"/>
          <w:sz w:val="22"/>
          <w:szCs w:val="22"/>
        </w:rPr>
        <w:br/>
        <w:t xml:space="preserve">ich sprostowania, usunięcia, ograniczenia przetwarzania, prawo do przenoszenia danych, prawo wniesienia sprzeciwu, prawo do cofnięcia zgody w dowolnym momencie bez wpływu na zgodność z prawem przetwarzania, którego dokonano na podstawie zgody przed jej cofnięciem. Posiada Pani/Pan prawo do wniesienia skargi, gdy uzna Pani/Pan, </w:t>
      </w:r>
      <w:r>
        <w:rPr>
          <w:rFonts w:eastAsia="Calibri" w:cs="Calibri"/>
          <w:color w:val="404040" w:themeColor="text1" w:themeTint="BF"/>
          <w:sz w:val="22"/>
          <w:szCs w:val="22"/>
        </w:rPr>
        <w:br/>
        <w:t xml:space="preserve">że przetwarzanie danych narusza przepisy </w:t>
      </w:r>
      <w:proofErr w:type="spellStart"/>
      <w:r>
        <w:rPr>
          <w:rFonts w:eastAsia="Calibri" w:cs="Calibri"/>
          <w:color w:val="404040" w:themeColor="text1" w:themeTint="BF"/>
          <w:sz w:val="22"/>
          <w:szCs w:val="22"/>
        </w:rPr>
        <w:t>r.o.d.o</w:t>
      </w:r>
      <w:proofErr w:type="spellEnd"/>
      <w:r>
        <w:rPr>
          <w:rFonts w:eastAsia="Calibri" w:cs="Calibri"/>
          <w:color w:val="404040" w:themeColor="text1" w:themeTint="BF"/>
          <w:sz w:val="22"/>
          <w:szCs w:val="22"/>
        </w:rPr>
        <w:t>. Skargę należy wnieść do organu nadzorczego, którym od dnia 25 maja 2018 r. będzie Prezes Urzędu Ochrony Danych Osobowych. Podanie danych osobowych jest dobrowolne, ale niezbędne w celu realizacji wniosku.</w:t>
      </w:r>
    </w:p>
    <w:p w14:paraId="0EA05BF1" w14:textId="77777777" w:rsidR="00B92A5B" w:rsidRDefault="001108FB">
      <w:pPr>
        <w:tabs>
          <w:tab w:val="left" w:leader="dot" w:pos="5669"/>
        </w:tabs>
        <w:spacing w:after="1320" w:line="276" w:lineRule="auto"/>
        <w:textAlignment w:val="auto"/>
      </w:pPr>
      <w:r>
        <w:rPr>
          <w:rFonts w:eastAsia="Calibri" w:cs="Calibri"/>
          <w:color w:val="404040" w:themeColor="text1" w:themeTint="BF"/>
          <w:sz w:val="22"/>
          <w:szCs w:val="22"/>
        </w:rPr>
        <w:t>Wyrażam zgodę na przetwarzanie moich danych osobowych podanych w powyższym formularzu wniosku przez Administratora, w celu podjęcia wszelkich niezbędnych działań związanych z realizacją wniosku oraz do celów statystycznych.</w:t>
      </w:r>
    </w:p>
    <w:sectPr w:rsidR="00B92A5B">
      <w:pgSz w:w="11906" w:h="16838"/>
      <w:pgMar w:top="1134" w:right="567" w:bottom="1134" w:left="56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321E0"/>
    <w:multiLevelType w:val="multilevel"/>
    <w:tmpl w:val="9148FF2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44B63BCA"/>
    <w:multiLevelType w:val="multilevel"/>
    <w:tmpl w:val="E592D69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57ED5C4D"/>
    <w:multiLevelType w:val="multilevel"/>
    <w:tmpl w:val="78A23E3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675E56C0"/>
    <w:multiLevelType w:val="multilevel"/>
    <w:tmpl w:val="738AE1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9F65150"/>
    <w:multiLevelType w:val="multilevel"/>
    <w:tmpl w:val="523E7C1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6D0E7BC6"/>
    <w:multiLevelType w:val="multilevel"/>
    <w:tmpl w:val="663C8B1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70704289"/>
    <w:multiLevelType w:val="multilevel"/>
    <w:tmpl w:val="9CE8DC8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750333E9"/>
    <w:multiLevelType w:val="multilevel"/>
    <w:tmpl w:val="8148323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7AFF5298"/>
    <w:multiLevelType w:val="multilevel"/>
    <w:tmpl w:val="B706E2E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16cid:durableId="1947080595">
    <w:abstractNumId w:val="2"/>
  </w:num>
  <w:num w:numId="2" w16cid:durableId="1329987969">
    <w:abstractNumId w:val="4"/>
  </w:num>
  <w:num w:numId="3" w16cid:durableId="1320116401">
    <w:abstractNumId w:val="1"/>
  </w:num>
  <w:num w:numId="4" w16cid:durableId="181362088">
    <w:abstractNumId w:val="7"/>
  </w:num>
  <w:num w:numId="5" w16cid:durableId="1993174952">
    <w:abstractNumId w:val="0"/>
  </w:num>
  <w:num w:numId="6" w16cid:durableId="1584995585">
    <w:abstractNumId w:val="5"/>
  </w:num>
  <w:num w:numId="7" w16cid:durableId="793136166">
    <w:abstractNumId w:val="8"/>
  </w:num>
  <w:num w:numId="8" w16cid:durableId="1287274885">
    <w:abstractNumId w:val="6"/>
  </w:num>
  <w:num w:numId="9" w16cid:durableId="403114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A5B"/>
    <w:rsid w:val="001108FB"/>
    <w:rsid w:val="00224752"/>
    <w:rsid w:val="00B92A5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F39B"/>
  <w15:docId w15:val="{4641C023-640A-4611-8A7A-0DEBA20D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2"/>
        <w:sz w:val="24"/>
        <w:szCs w:val="24"/>
        <w:lang w:val="de-DE" w:eastAsia="ja-JP"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4933"/>
    <w:pPr>
      <w:widowControl w:val="0"/>
      <w:suppressAutoHyphens/>
      <w:spacing w:line="360" w:lineRule="auto"/>
      <w:textAlignment w:val="baseline"/>
    </w:pPr>
    <w:rPr>
      <w:rFonts w:ascii="Calibri" w:hAnsi="Calibri"/>
      <w:lang w:val="pl-PL"/>
    </w:rPr>
  </w:style>
  <w:style w:type="paragraph" w:styleId="Nagwek1">
    <w:name w:val="heading 1"/>
    <w:basedOn w:val="Nagwek10"/>
    <w:next w:val="Textbody"/>
    <w:uiPriority w:val="9"/>
    <w:qFormat/>
    <w:pPr>
      <w:outlineLvl w:val="0"/>
    </w:pPr>
    <w:rPr>
      <w:b/>
      <w:bCs/>
    </w:rPr>
  </w:style>
  <w:style w:type="paragraph" w:styleId="Nagwek2">
    <w:name w:val="heading 2"/>
    <w:basedOn w:val="Nagwek10"/>
    <w:next w:val="Textbody"/>
    <w:uiPriority w:val="9"/>
    <w:semiHidden/>
    <w:unhideWhenUsed/>
    <w:qFormat/>
    <w:pPr>
      <w:spacing w:before="200"/>
      <w:outlineLvl w:val="1"/>
    </w:pPr>
    <w:rPr>
      <w:b/>
      <w:bCs/>
    </w:rPr>
  </w:style>
  <w:style w:type="paragraph" w:styleId="Nagwek3">
    <w:name w:val="heading 3"/>
    <w:basedOn w:val="Nagwek10"/>
    <w:next w:val="Textbody"/>
    <w:uiPriority w:val="9"/>
    <w:semiHidden/>
    <w:unhideWhenUsed/>
    <w:qFormat/>
    <w:p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Mocnowyrniony">
    <w:name w:val="Mocno wyróżniony"/>
    <w:qFormat/>
    <w:rPr>
      <w:b/>
      <w:bCs/>
    </w:rPr>
  </w:style>
  <w:style w:type="character" w:customStyle="1" w:styleId="Internetlink">
    <w:name w:val="Internet link"/>
    <w:qFormat/>
    <w:rPr>
      <w:color w:val="000080"/>
      <w:u w:val="single"/>
    </w:rPr>
  </w:style>
  <w:style w:type="character" w:customStyle="1" w:styleId="czeinternetowe">
    <w:name w:val="Łącze internetowe"/>
    <w:basedOn w:val="Domylnaczcionkaakapitu"/>
    <w:uiPriority w:val="99"/>
    <w:unhideWhenUsed/>
    <w:rsid w:val="007C4097"/>
    <w:rPr>
      <w:color w:val="0563C1" w:themeColor="hyperlink"/>
      <w:u w:val="single"/>
    </w:rPr>
  </w:style>
  <w:style w:type="character" w:styleId="Nierozpoznanawzmianka">
    <w:name w:val="Unresolved Mention"/>
    <w:basedOn w:val="Domylnaczcionkaakapitu"/>
    <w:uiPriority w:val="99"/>
    <w:semiHidden/>
    <w:unhideWhenUsed/>
    <w:qFormat/>
    <w:rsid w:val="007C4097"/>
    <w:rPr>
      <w:color w:val="605E5C"/>
      <w:shd w:val="clear" w:color="auto" w:fill="E1DFDD"/>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character" w:customStyle="1" w:styleId="ListLabel28">
    <w:name w:val="ListLabel 28"/>
    <w:qFormat/>
    <w:rPr>
      <w:rFonts w:eastAsia="OpenSymbol" w:cs="OpenSymbol"/>
    </w:rPr>
  </w:style>
  <w:style w:type="character" w:customStyle="1" w:styleId="ListLabel29">
    <w:name w:val="ListLabel 29"/>
    <w:qFormat/>
    <w:rPr>
      <w:rFonts w:eastAsia="OpenSymbol" w:cs="OpenSymbol"/>
    </w:rPr>
  </w:style>
  <w:style w:type="character" w:customStyle="1" w:styleId="ListLabel30">
    <w:name w:val="ListLabel 30"/>
    <w:qFormat/>
    <w:rPr>
      <w:rFonts w:eastAsia="OpenSymbol" w:cs="OpenSymbol"/>
    </w:rPr>
  </w:style>
  <w:style w:type="character" w:customStyle="1" w:styleId="ListLabel31">
    <w:name w:val="ListLabel 31"/>
    <w:qFormat/>
    <w:rPr>
      <w:rFonts w:eastAsia="OpenSymbol" w:cs="OpenSymbol"/>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character" w:customStyle="1" w:styleId="ListLabel36">
    <w:name w:val="ListLabel 36"/>
    <w:qFormat/>
    <w:rPr>
      <w:rFonts w:eastAsia="OpenSymbol" w:cs="OpenSymbol"/>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ListLabel59">
    <w:name w:val="ListLabel 59"/>
    <w:qFormat/>
    <w:rPr>
      <w:rFonts w:eastAsia="OpenSymbol" w:cs="OpenSymbol"/>
    </w:rPr>
  </w:style>
  <w:style w:type="character" w:customStyle="1" w:styleId="ListLabel60">
    <w:name w:val="ListLabel 60"/>
    <w:qFormat/>
    <w:rPr>
      <w:rFonts w:eastAsia="OpenSymbol" w:cs="OpenSymbol"/>
    </w:rPr>
  </w:style>
  <w:style w:type="character" w:customStyle="1" w:styleId="ListLabel61">
    <w:name w:val="ListLabel 61"/>
    <w:qFormat/>
    <w:rPr>
      <w:rFonts w:eastAsia="OpenSymbol" w:cs="OpenSymbol"/>
    </w:rPr>
  </w:style>
  <w:style w:type="character" w:customStyle="1" w:styleId="ListLabel62">
    <w:name w:val="ListLabel 62"/>
    <w:qFormat/>
    <w:rPr>
      <w:rFonts w:eastAsia="OpenSymbol" w:cs="OpenSymbol"/>
    </w:rPr>
  </w:style>
  <w:style w:type="character" w:customStyle="1" w:styleId="ListLabel63">
    <w:name w:val="ListLabel 63"/>
    <w:qFormat/>
    <w:rPr>
      <w:rFonts w:eastAsia="OpenSymbol" w:cs="OpenSymbol"/>
    </w:rPr>
  </w:style>
  <w:style w:type="character" w:customStyle="1" w:styleId="ListLabel64">
    <w:name w:val="ListLabel 64"/>
    <w:qFormat/>
    <w:rPr>
      <w:rFonts w:eastAsia="OpenSymbol" w:cs="OpenSymbol"/>
    </w:rPr>
  </w:style>
  <w:style w:type="character" w:customStyle="1" w:styleId="ListLabel65">
    <w:name w:val="ListLabel 65"/>
    <w:qFormat/>
    <w:rPr>
      <w:rFonts w:eastAsia="OpenSymbol" w:cs="OpenSymbol"/>
    </w:rPr>
  </w:style>
  <w:style w:type="character" w:customStyle="1" w:styleId="ListLabel66">
    <w:name w:val="ListLabel 66"/>
    <w:qFormat/>
    <w:rPr>
      <w:rFonts w:eastAsia="OpenSymbol" w:cs="OpenSymbol"/>
    </w:rPr>
  </w:style>
  <w:style w:type="character" w:customStyle="1" w:styleId="ListLabel67">
    <w:name w:val="ListLabel 67"/>
    <w:qFormat/>
    <w:rPr>
      <w:rFonts w:eastAsia="OpenSymbol" w:cs="OpenSymbol"/>
    </w:rPr>
  </w:style>
  <w:style w:type="character" w:customStyle="1" w:styleId="ListLabel68">
    <w:name w:val="ListLabel 68"/>
    <w:qFormat/>
    <w:rPr>
      <w:rFonts w:eastAsia="OpenSymbol" w:cs="OpenSymbol"/>
    </w:rPr>
  </w:style>
  <w:style w:type="character" w:customStyle="1" w:styleId="ListLabel69">
    <w:name w:val="ListLabel 69"/>
    <w:qFormat/>
    <w:rPr>
      <w:rFonts w:eastAsia="OpenSymbol" w:cs="OpenSymbol"/>
    </w:rPr>
  </w:style>
  <w:style w:type="character" w:customStyle="1" w:styleId="ListLabel70">
    <w:name w:val="ListLabel 70"/>
    <w:qFormat/>
    <w:rPr>
      <w:rFonts w:eastAsia="OpenSymbol" w:cs="OpenSymbol"/>
    </w:rPr>
  </w:style>
  <w:style w:type="character" w:customStyle="1" w:styleId="ListLabel71">
    <w:name w:val="ListLabel 71"/>
    <w:qFormat/>
    <w:rPr>
      <w:rFonts w:eastAsia="OpenSymbol" w:cs="OpenSymbol"/>
    </w:rPr>
  </w:style>
  <w:style w:type="character" w:customStyle="1" w:styleId="ListLabel72">
    <w:name w:val="ListLabel 72"/>
    <w:qFormat/>
    <w:rPr>
      <w:rFonts w:eastAsia="OpenSymbol" w:cs="OpenSymbol"/>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alibri"/>
    </w:rPr>
  </w:style>
  <w:style w:type="paragraph" w:customStyle="1" w:styleId="Nagwek10">
    <w:name w:val="Nagłówek1"/>
    <w:basedOn w:val="Standard"/>
    <w:next w:val="Textbody"/>
    <w:qFormat/>
    <w:pPr>
      <w:keepNext/>
      <w:spacing w:before="240" w:after="120"/>
    </w:pPr>
    <w:rPr>
      <w:rFonts w:ascii="Arial" w:hAnsi="Arial"/>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widowControl w:val="0"/>
      <w:suppressAutoHyphens/>
      <w:textAlignment w:val="baseline"/>
    </w:pPr>
  </w:style>
  <w:style w:type="paragraph" w:customStyle="1" w:styleId="Textbody">
    <w:name w:val="Text body"/>
    <w:basedOn w:val="Standard"/>
    <w:qFormat/>
    <w:pPr>
      <w:spacing w:after="120"/>
    </w:pPr>
  </w:style>
  <w:style w:type="paragraph" w:customStyle="1" w:styleId="Textbodyindent">
    <w:name w:val="Text body indent"/>
    <w:basedOn w:val="Textbody"/>
    <w:qFormat/>
    <w:pPr>
      <w:spacing w:after="0"/>
      <w:ind w:left="283"/>
    </w:pPr>
  </w:style>
  <w:style w:type="paragraph" w:styleId="Tytu">
    <w:name w:val="Title"/>
    <w:basedOn w:val="Nagwek10"/>
    <w:next w:val="Textbody"/>
    <w:uiPriority w:val="10"/>
    <w:qFormat/>
    <w:pPr>
      <w:jc w:val="center"/>
    </w:pPr>
    <w:rPr>
      <w:b/>
      <w:bCs/>
      <w:sz w:val="56"/>
      <w:szCs w:val="56"/>
    </w:rPr>
  </w:style>
  <w:style w:type="paragraph" w:styleId="Podtytu">
    <w:name w:val="Subtitle"/>
    <w:basedOn w:val="Nagwek10"/>
    <w:next w:val="Textbody"/>
    <w:uiPriority w:val="11"/>
    <w:qFormat/>
    <w:pPr>
      <w:spacing w:before="60"/>
      <w:jc w:val="center"/>
    </w:pPr>
    <w:rPr>
      <w:sz w:val="36"/>
      <w:szCs w:val="36"/>
    </w:rPr>
  </w:style>
  <w:style w:type="paragraph" w:customStyle="1" w:styleId="DOSTP-Tekst">
    <w:name w:val="DOSTĘP - Tekst"/>
    <w:qFormat/>
    <w:pPr>
      <w:widowControl w:val="0"/>
      <w:tabs>
        <w:tab w:val="left" w:leader="dot" w:pos="5669"/>
      </w:tabs>
      <w:suppressAutoHyphens/>
      <w:spacing w:line="360" w:lineRule="auto"/>
      <w:textAlignment w:val="baseline"/>
    </w:pPr>
    <w:rPr>
      <w:rFonts w:ascii="Calibri" w:eastAsia="Calibri" w:hAnsi="Calibri" w:cs="Calibri"/>
      <w:lang w:val="pl-PL"/>
    </w:rPr>
  </w:style>
  <w:style w:type="paragraph" w:customStyle="1" w:styleId="DOSTP-NagwekA">
    <w:name w:val="DOSTĘP - Nagłówek A"/>
    <w:qFormat/>
    <w:pPr>
      <w:widowControl w:val="0"/>
      <w:suppressAutoHyphens/>
      <w:spacing w:after="170" w:line="360" w:lineRule="auto"/>
      <w:textAlignment w:val="baseline"/>
    </w:pPr>
    <w:rPr>
      <w:rFonts w:ascii="Calibri" w:eastAsia="Calibri" w:hAnsi="Calibri" w:cs="Calibri"/>
      <w:b/>
      <w:sz w:val="32"/>
      <w:lang w:val="pl-PL"/>
    </w:rPr>
  </w:style>
  <w:style w:type="paragraph" w:customStyle="1" w:styleId="DOSTP-NagwekB">
    <w:name w:val="DOSTĘP - Nagłówek B"/>
    <w:basedOn w:val="DOSTP-NagwekA"/>
    <w:qFormat/>
    <w:pPr>
      <w:spacing w:before="170" w:after="340"/>
    </w:pPr>
    <w:rPr>
      <w:sz w:val="28"/>
    </w:rPr>
  </w:style>
  <w:style w:type="paragraph" w:customStyle="1" w:styleId="DOSTP-NagwekC">
    <w:name w:val="DOSTĘP - Nagłówek C"/>
    <w:qFormat/>
    <w:pPr>
      <w:widowControl w:val="0"/>
      <w:suppressAutoHyphens/>
      <w:spacing w:before="170" w:after="340" w:line="360" w:lineRule="auto"/>
      <w:textAlignment w:val="baseline"/>
    </w:pPr>
    <w:rPr>
      <w:rFonts w:ascii="Calibri" w:eastAsia="Calibri" w:hAnsi="Calibri" w:cs="Calibri"/>
      <w:b/>
      <w:lang w:val="pl-PL"/>
    </w:rPr>
  </w:style>
  <w:style w:type="paragraph" w:styleId="Indeks1">
    <w:name w:val="index 1"/>
    <w:basedOn w:val="Indeks"/>
    <w:qFormat/>
  </w:style>
  <w:style w:type="paragraph" w:styleId="Podpis">
    <w:name w:val="Signature"/>
    <w:basedOn w:val="Standard"/>
    <w:pPr>
      <w:suppressLineNumbers/>
    </w:pPr>
  </w:style>
  <w:style w:type="paragraph" w:customStyle="1" w:styleId="DOSTP-RODO">
    <w:name w:val="DOSTĘP - RODO"/>
    <w:basedOn w:val="DOSTP-Tekst"/>
    <w:qFormat/>
    <w:rPr>
      <w:sz w:val="18"/>
    </w:rPr>
  </w:style>
  <w:style w:type="paragraph" w:customStyle="1" w:styleId="DOSTP-AkapitTekst">
    <w:name w:val="DOSTĘP - Akapit;Tekst"/>
    <w:basedOn w:val="DOSTP-Tekst"/>
    <w:qFormat/>
    <w:pPr>
      <w:spacing w:before="340"/>
    </w:pPr>
  </w:style>
  <w:style w:type="paragraph" w:styleId="Akapitzlist">
    <w:name w:val="List Paragraph"/>
    <w:basedOn w:val="Normalny"/>
    <w:uiPriority w:val="34"/>
    <w:qFormat/>
    <w:rsid w:val="00A66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gzwi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1219</Words>
  <Characters>7315</Characters>
  <DocSecurity>0</DocSecurity>
  <Lines>60</Lines>
  <Paragraphs>17</Paragraphs>
  <ScaleCrop>false</ScaleCrop>
  <HeadingPairs>
    <vt:vector size="2" baseType="variant">
      <vt:variant>
        <vt:lpstr>Tytuł</vt:lpstr>
      </vt:variant>
      <vt:variant>
        <vt:i4>1</vt:i4>
      </vt:variant>
    </vt:vector>
  </HeadingPairs>
  <TitlesOfParts>
    <vt:vector size="1" baseType="lpstr">
      <vt:lpstr>DOSTĘP</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Ponowne wykorzystanie</dc:title>
  <dc:subject/>
  <cp:keywords>Dostępny, dostępność</cp:keywords>
  <dc:description/>
  <cp:revision>8</cp:revision>
  <dcterms:created xsi:type="dcterms:W3CDTF">2022-07-20T11:26:00Z</dcterms:created>
  <dcterms:modified xsi:type="dcterms:W3CDTF">2022-07-26T12:00:00Z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